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DD3" w:rsidRPr="00265DD3" w:rsidRDefault="00B200FD" w:rsidP="00265D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bookmarkStart w:id="0" w:name="_GoBack"/>
      <w:bookmarkEnd w:id="0"/>
      <w:r w:rsidR="00265DD3" w:rsidRPr="00265DD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Informacje ogólne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Międzynarodowa norma ISO 12944 dotycząca ochrony konstrukcji stalowych przed korozją za pomocą systemów malarskich określa jasno wytyczne doboru zabezpieczania antykorozyjnego. Przy doborze systemu malarskiego należy przeanalizować następujące parametry:</w:t>
      </w:r>
    </w:p>
    <w:p w:rsidR="00265DD3" w:rsidRPr="00265DD3" w:rsidRDefault="00265DD3" w:rsidP="00265D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korozyjność i środowisko pracy</w:t>
      </w:r>
    </w:p>
    <w:p w:rsidR="00265DD3" w:rsidRPr="00265DD3" w:rsidRDefault="00265DD3" w:rsidP="00265D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trwałość powłoki</w:t>
      </w:r>
    </w:p>
    <w:p w:rsidR="00265DD3" w:rsidRPr="00265DD3" w:rsidRDefault="00265DD3" w:rsidP="00265D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stopień oczyszczenia konstrukcji oraz sposób przygotowania nawierzchni</w:t>
      </w:r>
    </w:p>
    <w:p w:rsidR="00265DD3" w:rsidRPr="00265DD3" w:rsidRDefault="00265DD3" w:rsidP="00265D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grubość warstw oraz ilość powłok (ekonomia)</w:t>
      </w:r>
    </w:p>
    <w:p w:rsidR="00265DD3" w:rsidRPr="00265DD3" w:rsidRDefault="00265DD3" w:rsidP="00265D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rodzaj farby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Zgodnie z normą ISO 12944-2 korozyjność atmosferyczna jest dzielona na sześć kategorii:</w:t>
      </w:r>
    </w:p>
    <w:p w:rsidR="00265DD3" w:rsidRPr="00265DD3" w:rsidRDefault="00265DD3" w:rsidP="00265D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C1 – bardzo niska</w:t>
      </w:r>
    </w:p>
    <w:p w:rsidR="00265DD3" w:rsidRPr="00265DD3" w:rsidRDefault="00265DD3" w:rsidP="00265D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C2 – niska</w:t>
      </w:r>
    </w:p>
    <w:p w:rsidR="00265DD3" w:rsidRPr="00265DD3" w:rsidRDefault="00265DD3" w:rsidP="00265D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C3 – średnia</w:t>
      </w:r>
    </w:p>
    <w:p w:rsidR="00265DD3" w:rsidRPr="00265DD3" w:rsidRDefault="00265DD3" w:rsidP="00265D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C4 – wysoka</w:t>
      </w:r>
    </w:p>
    <w:p w:rsidR="00265DD3" w:rsidRPr="00265DD3" w:rsidRDefault="00265DD3" w:rsidP="00265D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C5-I – bardzo wysoka (środowisko przemysłowe)</w:t>
      </w:r>
    </w:p>
    <w:p w:rsidR="00265DD3" w:rsidRPr="00265DD3" w:rsidRDefault="00265DD3" w:rsidP="00265D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C5-M – bardzo wysoka (środowisko morskie)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normie ISO 12944-2 istnieją trzy stopnie korozyjności konstrukcji zanurzonej w wodzie lub zakopanej w gruncie:</w:t>
      </w:r>
    </w:p>
    <w:p w:rsidR="00265DD3" w:rsidRPr="00265DD3" w:rsidRDefault="00265DD3" w:rsidP="00265D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lm1 – zanurzenie w wodzie (słodkiej), np. konstrukcje rzeczne, instalacje do uzyskiwania energii wodnej</w:t>
      </w:r>
    </w:p>
    <w:p w:rsidR="00265DD3" w:rsidRPr="00265DD3" w:rsidRDefault="00265DD3" w:rsidP="00265D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lm2 – zanurzenie w wodzie morskiej lub słonej, np. konstrukcje portowe</w:t>
      </w:r>
    </w:p>
    <w:p w:rsidR="00265DD3" w:rsidRPr="00265DD3" w:rsidRDefault="00265DD3" w:rsidP="00265D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lm3 – zakopanie w ziemi, np. pojemniki podziemne, stalowe belki lub podobne konstrukcje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normie ISO 12944-1 podano trzy stopnie trwałości powłok:</w:t>
      </w:r>
    </w:p>
    <w:p w:rsidR="00265DD3" w:rsidRPr="00265DD3" w:rsidRDefault="00265DD3" w:rsidP="00265D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 – niska, czyli do 7 lat</w:t>
      </w:r>
    </w:p>
    <w:p w:rsidR="00265DD3" w:rsidRPr="00265DD3" w:rsidRDefault="00265DD3" w:rsidP="00265D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 – średnia, czyli od 7 do 15 lat</w:t>
      </w:r>
    </w:p>
    <w:p w:rsidR="00265DD3" w:rsidRPr="00265DD3" w:rsidRDefault="00265DD3" w:rsidP="00265D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H – wysoka, czyli od 15 do 25 lat</w:t>
      </w:r>
    </w:p>
    <w:p w:rsidR="00265DD3" w:rsidRPr="00265DD3" w:rsidRDefault="00265DD3" w:rsidP="00265D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VH – bardzo wysoka, czyli powyżej 25 lat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Trwałość nie równa się gwarancji na niezawodność powłoki.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Rodzaje farb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Powierzchnie stalowe pod wpływem działania tlenu i wilgoci utleniają się, dlatego wymagają zabezpieczenia antykorozyjnego. Najpopularniejszą metodą ochrony przed korozją jest stosowania systemów malarskich.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Norma wyszczególnia następujące rodzaje farb:</w:t>
      </w:r>
    </w:p>
    <w:tbl>
      <w:tblPr>
        <w:tblW w:w="12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7"/>
        <w:gridCol w:w="10523"/>
      </w:tblGrid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Farba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Opis</w:t>
            </w:r>
          </w:p>
        </w:tc>
      </w:tr>
      <w:tr w:rsidR="00265DD3" w:rsidRPr="00265DD3" w:rsidTr="00265DD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Alkidowa</w:t>
            </w:r>
            <w:proofErr w:type="spellEnd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(AK)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jednoskładnikowy, utwardza się w wyniku reakcji chemicznej z tlenem.</w:t>
            </w:r>
          </w:p>
        </w:tc>
      </w:tr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Akrylowa (AY)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to również wyrób jednoskładnikowy. Dostępne w dwóch rodzajach: wodnych i rozpuszczalnikowych. Główną równicą z farbą </w:t>
            </w:r>
            <w:proofErr w:type="spellStart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alkidową</w:t>
            </w:r>
            <w:proofErr w:type="spellEnd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jest to, że po możemy farbę zmyć, rozpuszczając w tym samym rozpuszczalniku.</w:t>
            </w:r>
          </w:p>
        </w:tc>
      </w:tr>
      <w:tr w:rsidR="00265DD3" w:rsidRPr="00265DD3" w:rsidTr="00265DD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Etylokrzemianowe</w:t>
            </w:r>
            <w:proofErr w:type="spellEnd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(ESI)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Dostarczane jako jedno lub dwuskładnikowe. Powłoki wysychają w skutek wysychania i sieciowania w wyniku reakcji z wilgocią w powietrzu. Więc ilość wilgoci ma znaczenie przy szybkości wysychania.</w:t>
            </w:r>
          </w:p>
        </w:tc>
      </w:tr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Epoksydowa (EP)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dwuskładnikowy, utwardza się na skutek odparowania rozpuszczalnika. Sieciuje w wyniku reakcji z utwardzaczem.</w:t>
            </w:r>
          </w:p>
        </w:tc>
      </w:tr>
      <w:tr w:rsidR="00265DD3" w:rsidRPr="00265DD3" w:rsidTr="00265DD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Poliuretanowa (PUR)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Jednoskładnikowy wyrób lakierniczy, utwardzana w wyniku reakcji z wilgocią w powietrzu. Utwardzanie jest nieodwracalne.</w:t>
            </w:r>
          </w:p>
        </w:tc>
      </w:tr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Poliasparginowa</w:t>
            </w:r>
            <w:proofErr w:type="spellEnd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(PAS)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Dostarczany jako wyrób dwuskładnikowy. Wysycha przez odparowanie rozpuszczalnika. Czas schnięcia zależny od ruchu powietrza, wilgotności i temperatury.</w:t>
            </w:r>
          </w:p>
        </w:tc>
      </w:tr>
      <w:tr w:rsidR="00265DD3" w:rsidRPr="00265DD3" w:rsidTr="00265DD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Polisiloksanowe</w:t>
            </w:r>
            <w:proofErr w:type="spellEnd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(PS)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jedno lub dwuskładnikowy. Farby jednoskładnikowe wysychają przez odparowanie rozpuszczalnika i reakcję chemiczną z wilgocią. Farby dwuskładnikowe schną poprzez odparowanie i sieciowanie składników farby z utwardzaczem.</w:t>
            </w:r>
          </w:p>
        </w:tc>
      </w:tr>
    </w:tbl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Rodzaje gruntu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Pierwszą powłoką w systemach malarskich zazwyczaj jest grunt, choć dzisiejsza technologia pozwala na malowanie systemami jednowarstwowymi, tzw. </w:t>
      </w:r>
      <w:proofErr w:type="spellStart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gruntoemalie</w:t>
      </w:r>
      <w:proofErr w:type="spellEnd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Grunt stanowi powłokę </w:t>
      </w:r>
      <w:proofErr w:type="spellStart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sczepną</w:t>
      </w:r>
      <w:proofErr w:type="spellEnd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Stosuje się go bezpośrednio na oczyszczoną strumieniowo – ściernie i odtłuszczoną stal.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Norma podaje dwa rodzaje gruntów:</w:t>
      </w:r>
    </w:p>
    <w:p w:rsidR="00265DD3" w:rsidRPr="00265DD3" w:rsidRDefault="00265DD3" w:rsidP="00265DD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Grunty </w:t>
      </w:r>
      <w:proofErr w:type="spellStart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wyeksperymentowane</w:t>
      </w:r>
      <w:proofErr w:type="spellEnd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cynkiem Zn (R) – czyli takie, które zawierają pył cynkowy w min. 80% substancji stałych.</w:t>
      </w:r>
    </w:p>
    <w:p w:rsidR="00265DD3" w:rsidRPr="00265DD3" w:rsidRDefault="00265DD3" w:rsidP="00265DD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inne grunty</w:t>
      </w:r>
    </w:p>
    <w:p w:rsidR="00265DD3" w:rsidRPr="00265DD3" w:rsidRDefault="00265DD3" w:rsidP="00265DD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Epoksydowe (EPF)</w:t>
      </w:r>
    </w:p>
    <w:p w:rsidR="00265DD3" w:rsidRPr="00265DD3" w:rsidRDefault="00265DD3" w:rsidP="00265DD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proofErr w:type="spellStart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Poli</w:t>
      </w:r>
      <w:proofErr w:type="spellEnd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</w:t>
      </w:r>
      <w:proofErr w:type="spellStart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winylobutyral</w:t>
      </w:r>
      <w:proofErr w:type="spellEnd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 PVBF</w:t>
      </w:r>
    </w:p>
    <w:p w:rsidR="00265DD3" w:rsidRPr="00265DD3" w:rsidRDefault="00265DD3" w:rsidP="00265DD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Akrylowe (AYF)</w:t>
      </w:r>
    </w:p>
    <w:p w:rsidR="00265DD3" w:rsidRPr="00265DD3" w:rsidRDefault="00265DD3" w:rsidP="00265DD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proofErr w:type="spellStart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Kamienowo-etylowe</w:t>
      </w:r>
      <w:proofErr w:type="spellEnd"/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 cynkiem (ESIZ)</w:t>
      </w:r>
    </w:p>
    <w:p w:rsidR="00265DD3" w:rsidRPr="00265DD3" w:rsidRDefault="00265DD3" w:rsidP="00265DD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Epoksydowe z cynkiem (EPZ)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Kompatybilność gruntu i farby nawierzchniowej</w:t>
      </w:r>
    </w:p>
    <w:tbl>
      <w:tblPr>
        <w:tblW w:w="12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1"/>
        <w:gridCol w:w="2995"/>
        <w:gridCol w:w="1066"/>
        <w:gridCol w:w="1066"/>
        <w:gridCol w:w="970"/>
        <w:gridCol w:w="1284"/>
        <w:gridCol w:w="1683"/>
        <w:gridCol w:w="65"/>
      </w:tblGrid>
      <w:tr w:rsidR="00265DD3" w:rsidRPr="00265DD3" w:rsidTr="00265DD3"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Grunt do czasowej ochrony</w:t>
            </w:r>
          </w:p>
        </w:tc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Kompatybilność gruntu z gruntem systemu malarskiego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substancji błonotwórczej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Substancja antykorozyjna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 ESI</w:t>
            </w:r>
          </w:p>
        </w:tc>
        <w:tc>
          <w:tcPr>
            <w:tcW w:w="0" w:type="auto"/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Różnorodne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Różnorodne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Pył cynkowy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ESI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Pył cynkowy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tak*</w:t>
            </w:r>
          </w:p>
        </w:tc>
        <w:tc>
          <w:tcPr>
            <w:tcW w:w="0" w:type="auto"/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 (</w:t>
            </w:r>
            <w:proofErr w:type="spellStart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wodrozpuszczlane</w:t>
            </w:r>
            <w:proofErr w:type="spellEnd"/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Różnorodne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65DD3" w:rsidRPr="00265DD3" w:rsidRDefault="00265DD3" w:rsidP="00265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5DD3">
        <w:rPr>
          <w:rFonts w:ascii="Times New Roman" w:eastAsia="Times New Roman" w:hAnsi="Times New Roman" w:cs="Times New Roman"/>
          <w:sz w:val="24"/>
          <w:szCs w:val="24"/>
          <w:lang w:eastAsia="pl-PL"/>
        </w:rPr>
        <w:t>* wymaga omiatania ścierniwem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Dobór rodzaju farby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Powołując się na normę ISO-12944-5, możemy określić system malarski, jaki powinien zostać zastosowany do zabezpieczenia naszej konstrukcji, minimalną liczbę powłok oraz grubość całego systemu.</w:t>
      </w:r>
    </w:p>
    <w:tbl>
      <w:tblPr>
        <w:tblW w:w="12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7"/>
        <w:gridCol w:w="1183"/>
        <w:gridCol w:w="1767"/>
        <w:gridCol w:w="673"/>
        <w:gridCol w:w="1767"/>
        <w:gridCol w:w="673"/>
        <w:gridCol w:w="1767"/>
        <w:gridCol w:w="673"/>
        <w:gridCol w:w="1767"/>
        <w:gridCol w:w="673"/>
      </w:tblGrid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Trwałość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Grunt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Nawierzchnia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PUR,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PUR,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PUR,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EP, PUR,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AY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Powłok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Grubość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Powłok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Grubość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Powłok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Grubość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Powłok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</w:tr>
      <w:tr w:rsidR="00265DD3" w:rsidRPr="00265DD3" w:rsidTr="00265DD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Grubość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</w:tr>
    </w:tbl>
    <w:p w:rsidR="00265DD3" w:rsidRPr="00265DD3" w:rsidRDefault="00265DD3" w:rsidP="00265D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5DD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Matryca wyboru farb wg. ISO 12944-5:2018 – dobór farby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Obliczenie zużycia farby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celu obliczenia teoretycznego zużycia farby możemy wykorzystać wzór:</w:t>
      </w:r>
    </w:p>
    <w:p w:rsidR="00265DD3" w:rsidRPr="00265DD3" w:rsidRDefault="00265DD3" w:rsidP="00265DD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Mt</w:t>
      </w:r>
      <w:r w:rsidRPr="00265DD3">
        <w:rPr>
          <w:rFonts w:ascii="MathJax_Main" w:eastAsia="Times New Roman" w:hAnsi="MathJax_Main" w:cs="Arial"/>
          <w:color w:val="000000"/>
          <w:sz w:val="24"/>
          <w:szCs w:val="24"/>
          <w:bdr w:val="none" w:sz="0" w:space="0" w:color="auto" w:frame="1"/>
          <w:lang w:eastAsia="pl-PL"/>
        </w:rPr>
        <w:t>=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Kp</w:t>
      </w:r>
      <w:r w:rsidRPr="00265DD3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  <w:lang w:eastAsia="pl-PL"/>
        </w:rPr>
        <w:t>⋅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A</w:t>
      </w:r>
      <w:r w:rsidRPr="00265DD3">
        <w:rPr>
          <w:rFonts w:ascii="MathJax_Main" w:eastAsia="Times New Roman" w:hAnsi="MathJax_Main" w:cs="Arial"/>
          <w:color w:val="000000"/>
          <w:sz w:val="24"/>
          <w:szCs w:val="24"/>
          <w:bdr w:val="none" w:sz="0" w:space="0" w:color="auto" w:frame="1"/>
          <w:lang w:eastAsia="pl-PL"/>
        </w:rPr>
        <w:t>10</w:t>
      </w:r>
      <w:r w:rsidRPr="00265DD3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  <w:lang w:eastAsia="pl-PL"/>
        </w:rPr>
        <w:t>⋅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V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gdzie:</w:t>
      </w:r>
    </w:p>
    <w:tbl>
      <w:tblPr>
        <w:tblW w:w="12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"/>
        <w:gridCol w:w="716"/>
        <w:gridCol w:w="11023"/>
      </w:tblGrid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line="240" w:lineRule="auto"/>
              <w:jc w:val="center"/>
              <w:divId w:val="69331248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MathJax_Math-italic" w:eastAsia="Times New Roman" w:hAnsi="MathJax_Math-italic" w:cs="Times New Roman"/>
                <w:sz w:val="24"/>
                <w:szCs w:val="24"/>
                <w:bdr w:val="none" w:sz="0" w:space="0" w:color="auto" w:frame="1"/>
                <w:lang w:eastAsia="pl-PL"/>
              </w:rPr>
              <w:t>Mt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teoretyczne zużycie farby w l</w:t>
            </w:r>
          </w:p>
        </w:tc>
      </w:tr>
      <w:tr w:rsidR="00265DD3" w:rsidRPr="00265DD3" w:rsidTr="00265DD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65DD3">
              <w:rPr>
                <w:rFonts w:ascii="MathJax_Math-italic" w:eastAsia="Times New Roman" w:hAnsi="MathJax_Math-italic" w:cs="Times New Roman"/>
                <w:sz w:val="24"/>
                <w:szCs w:val="24"/>
                <w:bdr w:val="none" w:sz="0" w:space="0" w:color="auto" w:frame="1"/>
                <w:lang w:eastAsia="pl-PL"/>
              </w:rPr>
              <w:t>Kp</w:t>
            </w:r>
            <w:proofErr w:type="spellEnd"/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grubość suchego filmu (µm)</w:t>
            </w:r>
          </w:p>
        </w:tc>
      </w:tr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MathJax_Math-italic" w:eastAsia="Times New Roman" w:hAnsi="MathJax_Math-italic" w:cs="Times New Roman"/>
                <w:sz w:val="24"/>
                <w:szCs w:val="24"/>
                <w:bdr w:val="none" w:sz="0" w:space="0" w:color="auto" w:frame="1"/>
                <w:lang w:eastAsia="pl-PL"/>
              </w:rPr>
              <w:t>A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powierzchnia do aplikacji (m²)</w:t>
            </w:r>
          </w:p>
        </w:tc>
      </w:tr>
      <w:tr w:rsidR="00265DD3" w:rsidRPr="00265DD3" w:rsidTr="00265DD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MathJax_Math-italic" w:eastAsia="Times New Roman" w:hAnsi="MathJax_Math-italic" w:cs="Times New Roman"/>
                <w:sz w:val="24"/>
                <w:szCs w:val="24"/>
                <w:bdr w:val="none" w:sz="0" w:space="0" w:color="auto" w:frame="1"/>
                <w:lang w:eastAsia="pl-PL"/>
              </w:rPr>
              <w:t>V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procentowa zawartość substancji stałej w objętości (%)</w:t>
            </w:r>
          </w:p>
        </w:tc>
      </w:tr>
    </w:tbl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Biorąc pod uwagę rozkurz oraz fakt, że niewielka ilość farby pozostaje w pojemniku, dyszy i pompie, wzór możemy zmodyfikować o współczynnik strat.</w:t>
      </w:r>
    </w:p>
    <w:p w:rsidR="00265DD3" w:rsidRPr="00265DD3" w:rsidRDefault="00265DD3" w:rsidP="00265DD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Mt</w:t>
      </w:r>
      <w:r w:rsidRPr="00265DD3">
        <w:rPr>
          <w:rFonts w:ascii="MathJax_Main" w:eastAsia="Times New Roman" w:hAnsi="MathJax_Main" w:cs="Arial"/>
          <w:color w:val="000000"/>
          <w:sz w:val="24"/>
          <w:szCs w:val="24"/>
          <w:bdr w:val="none" w:sz="0" w:space="0" w:color="auto" w:frame="1"/>
          <w:lang w:eastAsia="pl-PL"/>
        </w:rPr>
        <w:t>=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wstr</w:t>
      </w:r>
      <w:r w:rsidRPr="00265DD3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  <w:lang w:eastAsia="pl-PL"/>
        </w:rPr>
        <w:t>⋅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Kp</w:t>
      </w:r>
      <w:r w:rsidRPr="00265DD3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  <w:lang w:eastAsia="pl-PL"/>
        </w:rPr>
        <w:t>⋅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A</w:t>
      </w:r>
      <w:r w:rsidRPr="00265DD3">
        <w:rPr>
          <w:rFonts w:ascii="MathJax_Main" w:eastAsia="Times New Roman" w:hAnsi="MathJax_Main" w:cs="Arial"/>
          <w:color w:val="000000"/>
          <w:sz w:val="24"/>
          <w:szCs w:val="24"/>
          <w:bdr w:val="none" w:sz="0" w:space="0" w:color="auto" w:frame="1"/>
          <w:lang w:eastAsia="pl-PL"/>
        </w:rPr>
        <w:t>10</w:t>
      </w:r>
      <w:r w:rsidRPr="00265DD3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  <w:lang w:eastAsia="pl-PL"/>
        </w:rPr>
        <w:t>⋅</w:t>
      </w:r>
      <w:r w:rsidRPr="00265DD3">
        <w:rPr>
          <w:rFonts w:ascii="MathJax_Math-italic" w:eastAsia="Times New Roman" w:hAnsi="MathJax_Math-italic" w:cs="Arial"/>
          <w:color w:val="000000"/>
          <w:sz w:val="24"/>
          <w:szCs w:val="24"/>
          <w:bdr w:val="none" w:sz="0" w:space="0" w:color="auto" w:frame="1"/>
          <w:lang w:eastAsia="pl-PL"/>
        </w:rPr>
        <w:t>V</w:t>
      </w:r>
    </w:p>
    <w:p w:rsidR="00265DD3" w:rsidRPr="00265DD3" w:rsidRDefault="00265DD3" w:rsidP="00265DD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65D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gdzie:</w:t>
      </w:r>
    </w:p>
    <w:tbl>
      <w:tblPr>
        <w:tblW w:w="12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830"/>
        <w:gridCol w:w="10463"/>
      </w:tblGrid>
      <w:tr w:rsidR="00265DD3" w:rsidRPr="00265DD3" w:rsidTr="00265DD3"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line="240" w:lineRule="auto"/>
              <w:jc w:val="center"/>
              <w:divId w:val="1743986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65DD3">
              <w:rPr>
                <w:rFonts w:ascii="MathJax_Math-italic" w:eastAsia="Times New Roman" w:hAnsi="MathJax_Math-italic" w:cs="Times New Roman"/>
                <w:sz w:val="24"/>
                <w:szCs w:val="24"/>
                <w:bdr w:val="none" w:sz="0" w:space="0" w:color="auto" w:frame="1"/>
                <w:lang w:eastAsia="pl-PL"/>
              </w:rPr>
              <w:t>wstr</w:t>
            </w:r>
            <w:proofErr w:type="spellEnd"/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</w:p>
        </w:tc>
        <w:tc>
          <w:tcPr>
            <w:tcW w:w="0" w:type="auto"/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65DD3" w:rsidRPr="00265DD3" w:rsidRDefault="00265DD3" w:rsidP="0026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D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współczynnik zwiększający zależny od strat.</w:t>
            </w:r>
          </w:p>
        </w:tc>
      </w:tr>
    </w:tbl>
    <w:p w:rsidR="002D5BDA" w:rsidRPr="00265DD3" w:rsidRDefault="002D5BDA" w:rsidP="00265DD3">
      <w:pPr>
        <w:rPr>
          <w:sz w:val="20"/>
          <w:szCs w:val="20"/>
        </w:rPr>
      </w:pPr>
    </w:p>
    <w:sectPr w:rsidR="002D5BDA" w:rsidRPr="00265DD3" w:rsidSect="00265D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E2512"/>
    <w:multiLevelType w:val="multilevel"/>
    <w:tmpl w:val="A532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300E9D"/>
    <w:multiLevelType w:val="multilevel"/>
    <w:tmpl w:val="B6CE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449FE"/>
    <w:multiLevelType w:val="multilevel"/>
    <w:tmpl w:val="D2E05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9363FB"/>
    <w:multiLevelType w:val="multilevel"/>
    <w:tmpl w:val="9A6A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79186E"/>
    <w:multiLevelType w:val="multilevel"/>
    <w:tmpl w:val="F046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D3"/>
    <w:rsid w:val="00265DD3"/>
    <w:rsid w:val="002D5BDA"/>
    <w:rsid w:val="00B2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BEC93-B4B8-49F1-A691-25EA1CF6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77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24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7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29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2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3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65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714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Wincenty</dc:creator>
  <cp:keywords/>
  <dc:description/>
  <cp:lastModifiedBy>user</cp:lastModifiedBy>
  <cp:revision>3</cp:revision>
  <dcterms:created xsi:type="dcterms:W3CDTF">2023-12-08T08:30:00Z</dcterms:created>
  <dcterms:modified xsi:type="dcterms:W3CDTF">2023-12-08T08:59:00Z</dcterms:modified>
</cp:coreProperties>
</file>